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B52F3" w14:textId="77777777" w:rsidR="00D7355B" w:rsidRPr="00D7355B" w:rsidRDefault="00D7355B" w:rsidP="00D7355B">
      <w:pPr>
        <w:spacing w:after="0" w:line="240" w:lineRule="auto"/>
        <w:rPr>
          <w:rFonts w:ascii="Times New Roman" w:eastAsia="Times New Roman" w:hAnsi="Times New Roman" w:cs="Times New Roman"/>
          <w:color w:val="212121"/>
          <w:kern w:val="0"/>
          <w14:ligatures w14:val="none"/>
        </w:rPr>
      </w:pPr>
      <w:r w:rsidRPr="00D7355B">
        <w:rPr>
          <w:rFonts w:ascii="Times New Roman" w:eastAsia="Times New Roman" w:hAnsi="Times New Roman" w:cs="Times New Roman"/>
          <w:b/>
          <w:bCs/>
          <w:color w:val="212121"/>
          <w:kern w:val="0"/>
          <w14:ligatures w14:val="none"/>
        </w:rPr>
        <w:t>FOR IMMEDIATE RELEASE</w:t>
      </w:r>
    </w:p>
    <w:p w14:paraId="30C9F5C4" w14:textId="77777777" w:rsidR="00D7355B" w:rsidRPr="00D7355B" w:rsidRDefault="00D7355B" w:rsidP="00D7355B">
      <w:pPr>
        <w:spacing w:after="0" w:line="240" w:lineRule="auto"/>
        <w:rPr>
          <w:rFonts w:ascii="Times New Roman" w:eastAsia="Times New Roman" w:hAnsi="Times New Roman" w:cs="Times New Roman"/>
          <w:color w:val="212121"/>
          <w:kern w:val="0"/>
          <w14:ligatures w14:val="none"/>
        </w:rPr>
      </w:pPr>
      <w:r w:rsidRPr="00D7355B">
        <w:rPr>
          <w:rFonts w:ascii="Times New Roman" w:eastAsia="Times New Roman" w:hAnsi="Times New Roman" w:cs="Times New Roman"/>
          <w:b/>
          <w:bCs/>
          <w:color w:val="212121"/>
          <w:kern w:val="0"/>
          <w14:ligatures w14:val="none"/>
        </w:rPr>
        <w:t>Contact:</w:t>
      </w:r>
    </w:p>
    <w:p w14:paraId="4EE6309A" w14:textId="77777777" w:rsidR="00D7355B" w:rsidRPr="00D7355B" w:rsidRDefault="00D7355B" w:rsidP="00D7355B">
      <w:pPr>
        <w:spacing w:after="0" w:line="240" w:lineRule="auto"/>
        <w:rPr>
          <w:rFonts w:ascii="Times New Roman" w:eastAsia="Times New Roman" w:hAnsi="Times New Roman" w:cs="Times New Roman"/>
          <w:color w:val="212121"/>
          <w:kern w:val="0"/>
          <w14:ligatures w14:val="none"/>
        </w:rPr>
      </w:pPr>
      <w:r w:rsidRPr="00D7355B">
        <w:rPr>
          <w:rFonts w:ascii="Times New Roman" w:eastAsia="Times New Roman" w:hAnsi="Times New Roman" w:cs="Times New Roman"/>
          <w:color w:val="212121"/>
          <w:kern w:val="0"/>
          <w14:ligatures w14:val="none"/>
        </w:rPr>
        <w:t xml:space="preserve">Randy </w:t>
      </w:r>
      <w:proofErr w:type="spellStart"/>
      <w:r w:rsidRPr="00D7355B">
        <w:rPr>
          <w:rFonts w:ascii="Times New Roman" w:eastAsia="Times New Roman" w:hAnsi="Times New Roman" w:cs="Times New Roman"/>
          <w:color w:val="212121"/>
          <w:kern w:val="0"/>
          <w14:ligatures w14:val="none"/>
        </w:rPr>
        <w:t>Labuzinski</w:t>
      </w:r>
      <w:proofErr w:type="spellEnd"/>
    </w:p>
    <w:p w14:paraId="6FE359F6" w14:textId="77777777" w:rsidR="00D7355B" w:rsidRPr="00D7355B" w:rsidRDefault="00D7355B" w:rsidP="00D7355B">
      <w:pPr>
        <w:spacing w:after="0" w:line="240" w:lineRule="auto"/>
        <w:rPr>
          <w:rFonts w:ascii="Times New Roman" w:eastAsia="Times New Roman" w:hAnsi="Times New Roman" w:cs="Times New Roman"/>
          <w:color w:val="212121"/>
          <w:kern w:val="0"/>
          <w14:ligatures w14:val="none"/>
        </w:rPr>
      </w:pPr>
      <w:r w:rsidRPr="00D7355B">
        <w:rPr>
          <w:rFonts w:ascii="Times New Roman" w:eastAsia="Times New Roman" w:hAnsi="Times New Roman" w:cs="Times New Roman"/>
          <w:color w:val="212121"/>
          <w:kern w:val="0"/>
          <w14:ligatures w14:val="none"/>
        </w:rPr>
        <w:t>(773) 405-7583</w:t>
      </w:r>
    </w:p>
    <w:p w14:paraId="7FFF2049" w14:textId="77777777" w:rsidR="00D7355B" w:rsidRPr="00D7355B" w:rsidRDefault="00D7355B" w:rsidP="00D7355B">
      <w:pPr>
        <w:spacing w:after="0" w:line="240" w:lineRule="auto"/>
        <w:rPr>
          <w:rFonts w:ascii="Times New Roman" w:eastAsia="Times New Roman" w:hAnsi="Times New Roman" w:cs="Times New Roman"/>
          <w:color w:val="212121"/>
          <w:kern w:val="0"/>
          <w14:ligatures w14:val="none"/>
        </w:rPr>
      </w:pPr>
      <w:hyperlink r:id="rId4" w:tgtFrame="_blank" w:tooltip="mailto:rlabuzinski@jaffepr.com" w:history="1">
        <w:r w:rsidRPr="00D7355B">
          <w:rPr>
            <w:rFonts w:ascii="Times New Roman" w:eastAsia="Times New Roman" w:hAnsi="Times New Roman" w:cs="Times New Roman"/>
            <w:color w:val="96607D"/>
            <w:kern w:val="0"/>
            <w:u w:val="single"/>
            <w14:ligatures w14:val="none"/>
          </w:rPr>
          <w:t>rlabuzinski@jaffepr.com</w:t>
        </w:r>
      </w:hyperlink>
    </w:p>
    <w:p w14:paraId="79867C57" w14:textId="77777777" w:rsidR="00D7355B" w:rsidRPr="00D7355B" w:rsidRDefault="00D7355B" w:rsidP="00D7355B">
      <w:pPr>
        <w:spacing w:after="0" w:line="240" w:lineRule="auto"/>
        <w:rPr>
          <w:rFonts w:ascii="Times New Roman" w:eastAsia="Times New Roman" w:hAnsi="Times New Roman" w:cs="Times New Roman"/>
          <w:color w:val="212121"/>
          <w:kern w:val="0"/>
          <w14:ligatures w14:val="none"/>
        </w:rPr>
      </w:pPr>
      <w:r w:rsidRPr="00D7355B">
        <w:rPr>
          <w:rFonts w:ascii="Times New Roman" w:eastAsia="Times New Roman" w:hAnsi="Times New Roman" w:cs="Times New Roman"/>
          <w:color w:val="000000"/>
          <w:kern w:val="0"/>
          <w14:ligatures w14:val="none"/>
        </w:rPr>
        <w:t> </w:t>
      </w:r>
    </w:p>
    <w:p w14:paraId="375CFE22" w14:textId="77777777" w:rsidR="00D7355B" w:rsidRPr="00D7355B" w:rsidRDefault="00D7355B" w:rsidP="00D7355B">
      <w:pPr>
        <w:spacing w:after="0" w:line="240" w:lineRule="auto"/>
        <w:rPr>
          <w:rFonts w:ascii="Times New Roman" w:eastAsia="Times New Roman" w:hAnsi="Times New Roman" w:cs="Times New Roman"/>
          <w:color w:val="212121"/>
          <w:kern w:val="0"/>
          <w14:ligatures w14:val="none"/>
        </w:rPr>
      </w:pPr>
      <w:r w:rsidRPr="00D7355B">
        <w:rPr>
          <w:rFonts w:ascii="Times New Roman" w:eastAsia="Times New Roman" w:hAnsi="Times New Roman" w:cs="Times New Roman"/>
          <w:b/>
          <w:bCs/>
          <w:color w:val="000000"/>
          <w:kern w:val="0"/>
          <w14:ligatures w14:val="none"/>
        </w:rPr>
        <w:t>Bradley's Trademark Practice and Four Partners Recognized in 2025 </w:t>
      </w:r>
      <w:r w:rsidRPr="00D7355B">
        <w:rPr>
          <w:rFonts w:ascii="Times New Roman" w:eastAsia="Times New Roman" w:hAnsi="Times New Roman" w:cs="Times New Roman"/>
          <w:b/>
          <w:bCs/>
          <w:i/>
          <w:iCs/>
          <w:color w:val="000000"/>
          <w:kern w:val="0"/>
          <w14:ligatures w14:val="none"/>
        </w:rPr>
        <w:t>World Trademark Review 1000</w:t>
      </w:r>
    </w:p>
    <w:p w14:paraId="058E20D1" w14:textId="77777777" w:rsidR="00D7355B" w:rsidRPr="00D7355B" w:rsidRDefault="00D7355B" w:rsidP="00D7355B">
      <w:pPr>
        <w:spacing w:after="0" w:line="240" w:lineRule="auto"/>
        <w:rPr>
          <w:rFonts w:ascii="Times New Roman" w:eastAsia="Times New Roman" w:hAnsi="Times New Roman" w:cs="Times New Roman"/>
          <w:color w:val="212121"/>
          <w:kern w:val="0"/>
          <w14:ligatures w14:val="none"/>
        </w:rPr>
      </w:pPr>
      <w:r w:rsidRPr="00D7355B">
        <w:rPr>
          <w:rFonts w:ascii="Times New Roman" w:eastAsia="Times New Roman" w:hAnsi="Times New Roman" w:cs="Times New Roman"/>
          <w:color w:val="000000"/>
          <w:kern w:val="0"/>
          <w14:ligatures w14:val="none"/>
        </w:rPr>
        <w:t> </w:t>
      </w:r>
    </w:p>
    <w:p w14:paraId="388DA9D3" w14:textId="77777777" w:rsidR="00D7355B" w:rsidRPr="00D7355B" w:rsidRDefault="00D7355B" w:rsidP="00D7355B">
      <w:pPr>
        <w:spacing w:after="0" w:line="240" w:lineRule="auto"/>
        <w:rPr>
          <w:rFonts w:ascii="Times New Roman" w:eastAsia="Times New Roman" w:hAnsi="Times New Roman" w:cs="Times New Roman"/>
          <w:color w:val="212121"/>
          <w:kern w:val="0"/>
          <w14:ligatures w14:val="none"/>
        </w:rPr>
      </w:pPr>
      <w:r w:rsidRPr="00D7355B">
        <w:rPr>
          <w:rFonts w:ascii="Times New Roman" w:eastAsia="Times New Roman" w:hAnsi="Times New Roman" w:cs="Times New Roman"/>
          <w:color w:val="000000"/>
          <w:kern w:val="0"/>
          <w14:ligatures w14:val="none"/>
        </w:rPr>
        <w:t>CHARLOTTE, N.C. (Feb. 10, 2025) – </w:t>
      </w:r>
      <w:hyperlink r:id="rId5" w:tooltip="http://www.bradley.com" w:history="1">
        <w:r w:rsidRPr="00D7355B">
          <w:rPr>
            <w:rFonts w:ascii="Times New Roman" w:eastAsia="Times New Roman" w:hAnsi="Times New Roman" w:cs="Times New Roman"/>
            <w:color w:val="96607D"/>
            <w:kern w:val="0"/>
            <w:u w:val="single"/>
            <w14:ligatures w14:val="none"/>
          </w:rPr>
          <w:t>Bradley Arant Boult Cummings LLP</w:t>
        </w:r>
      </w:hyperlink>
      <w:r w:rsidRPr="00D7355B">
        <w:rPr>
          <w:rFonts w:ascii="Times New Roman" w:eastAsia="Times New Roman" w:hAnsi="Times New Roman" w:cs="Times New Roman"/>
          <w:color w:val="000000"/>
          <w:kern w:val="0"/>
          <w14:ligatures w14:val="none"/>
        </w:rPr>
        <w:t> is pleased to announce that the firm’s Trademarks Practice Group, along with partners </w:t>
      </w:r>
      <w:hyperlink r:id="rId6" w:tooltip="https://www.bradley.com/people/d/deantonio-matthew-s" w:history="1">
        <w:r w:rsidRPr="00D7355B">
          <w:rPr>
            <w:rFonts w:ascii="Times New Roman" w:eastAsia="Times New Roman" w:hAnsi="Times New Roman" w:cs="Times New Roman"/>
            <w:color w:val="96607D"/>
            <w:kern w:val="0"/>
            <w:u w:val="single"/>
            <w14:ligatures w14:val="none"/>
          </w:rPr>
          <w:t xml:space="preserve">Matthew S. </w:t>
        </w:r>
        <w:proofErr w:type="spellStart"/>
        <w:r w:rsidRPr="00D7355B">
          <w:rPr>
            <w:rFonts w:ascii="Times New Roman" w:eastAsia="Times New Roman" w:hAnsi="Times New Roman" w:cs="Times New Roman"/>
            <w:color w:val="96607D"/>
            <w:kern w:val="0"/>
            <w:u w:val="single"/>
            <w14:ligatures w14:val="none"/>
          </w:rPr>
          <w:t>DeAntonio</w:t>
        </w:r>
        <w:proofErr w:type="spellEnd"/>
      </w:hyperlink>
      <w:r w:rsidRPr="00D7355B">
        <w:rPr>
          <w:rFonts w:ascii="Times New Roman" w:eastAsia="Times New Roman" w:hAnsi="Times New Roman" w:cs="Times New Roman"/>
          <w:color w:val="000000"/>
          <w:kern w:val="0"/>
          <w:u w:val="single"/>
          <w14:ligatures w14:val="none"/>
        </w:rPr>
        <w:t>, </w:t>
      </w:r>
      <w:hyperlink r:id="rId7" w:tooltip="https://www.bradley.com/people/s/skains-menchaca-samantha-n" w:history="1">
        <w:r w:rsidRPr="00D7355B">
          <w:rPr>
            <w:rFonts w:ascii="Times New Roman" w:eastAsia="Times New Roman" w:hAnsi="Times New Roman" w:cs="Times New Roman"/>
            <w:color w:val="96607D"/>
            <w:kern w:val="0"/>
            <w:u w:val="single"/>
            <w14:ligatures w14:val="none"/>
          </w:rPr>
          <w:t xml:space="preserve">Samantha N. </w:t>
        </w:r>
        <w:proofErr w:type="spellStart"/>
        <w:r w:rsidRPr="00D7355B">
          <w:rPr>
            <w:rFonts w:ascii="Times New Roman" w:eastAsia="Times New Roman" w:hAnsi="Times New Roman" w:cs="Times New Roman"/>
            <w:color w:val="96607D"/>
            <w:kern w:val="0"/>
            <w:u w:val="single"/>
            <w14:ligatures w14:val="none"/>
          </w:rPr>
          <w:t>Skains</w:t>
        </w:r>
        <w:proofErr w:type="spellEnd"/>
        <w:r w:rsidRPr="00D7355B">
          <w:rPr>
            <w:rFonts w:ascii="Times New Roman" w:eastAsia="Times New Roman" w:hAnsi="Times New Roman" w:cs="Times New Roman"/>
            <w:color w:val="96607D"/>
            <w:kern w:val="0"/>
            <w:u w:val="single"/>
            <w14:ligatures w14:val="none"/>
          </w:rPr>
          <w:t>-Menchaca</w:t>
        </w:r>
      </w:hyperlink>
      <w:r w:rsidRPr="00D7355B">
        <w:rPr>
          <w:rFonts w:ascii="Times New Roman" w:eastAsia="Times New Roman" w:hAnsi="Times New Roman" w:cs="Times New Roman"/>
          <w:color w:val="000000"/>
          <w:kern w:val="0"/>
          <w14:ligatures w14:val="none"/>
        </w:rPr>
        <w:t>, </w:t>
      </w:r>
      <w:hyperlink r:id="rId8" w:tooltip="https://www.bradley.com/people/w/walker-phillip-e" w:history="1">
        <w:r w:rsidRPr="00D7355B">
          <w:rPr>
            <w:rFonts w:ascii="Times New Roman" w:eastAsia="Times New Roman" w:hAnsi="Times New Roman" w:cs="Times New Roman"/>
            <w:color w:val="96607D"/>
            <w:kern w:val="0"/>
            <w:u w:val="single"/>
            <w14:ligatures w14:val="none"/>
          </w:rPr>
          <w:t>Phillip E. Walker</w:t>
        </w:r>
      </w:hyperlink>
      <w:r w:rsidRPr="00D7355B">
        <w:rPr>
          <w:rFonts w:ascii="Times New Roman" w:eastAsia="Times New Roman" w:hAnsi="Times New Roman" w:cs="Times New Roman"/>
          <w:color w:val="000000"/>
          <w:kern w:val="0"/>
          <w:u w:val="single"/>
          <w14:ligatures w14:val="none"/>
        </w:rPr>
        <w:t> </w:t>
      </w:r>
      <w:r w:rsidRPr="00D7355B">
        <w:rPr>
          <w:rFonts w:ascii="Times New Roman" w:eastAsia="Times New Roman" w:hAnsi="Times New Roman" w:cs="Times New Roman"/>
          <w:color w:val="000000"/>
          <w:kern w:val="0"/>
          <w14:ligatures w14:val="none"/>
        </w:rPr>
        <w:t>and </w:t>
      </w:r>
      <w:hyperlink r:id="rId9" w:tooltip="https://www.bradley.com/people/w/ward-iii-henry-b" w:history="1">
        <w:r w:rsidRPr="00D7355B">
          <w:rPr>
            <w:rFonts w:ascii="Times New Roman" w:eastAsia="Times New Roman" w:hAnsi="Times New Roman" w:cs="Times New Roman"/>
            <w:color w:val="96607D"/>
            <w:kern w:val="0"/>
            <w:u w:val="single"/>
            <w14:ligatures w14:val="none"/>
          </w:rPr>
          <w:t>Henry B. Ward III</w:t>
        </w:r>
      </w:hyperlink>
      <w:r w:rsidRPr="00D7355B">
        <w:rPr>
          <w:rFonts w:ascii="Times New Roman" w:eastAsia="Times New Roman" w:hAnsi="Times New Roman" w:cs="Times New Roman"/>
          <w:color w:val="000000"/>
          <w:kern w:val="0"/>
          <w14:ligatures w14:val="none"/>
        </w:rPr>
        <w:t>, are recognized in the 2025 </w:t>
      </w:r>
      <w:r w:rsidRPr="00D7355B">
        <w:rPr>
          <w:rFonts w:ascii="Times New Roman" w:eastAsia="Times New Roman" w:hAnsi="Times New Roman" w:cs="Times New Roman"/>
          <w:i/>
          <w:iCs/>
          <w:color w:val="000000"/>
          <w:kern w:val="0"/>
          <w14:ligatures w14:val="none"/>
        </w:rPr>
        <w:t>World Trademark Review (WTR) 1000</w:t>
      </w:r>
      <w:r w:rsidRPr="00D7355B">
        <w:rPr>
          <w:rFonts w:ascii="Times New Roman" w:eastAsia="Times New Roman" w:hAnsi="Times New Roman" w:cs="Times New Roman"/>
          <w:color w:val="000000"/>
          <w:kern w:val="0"/>
          <w14:ligatures w14:val="none"/>
        </w:rPr>
        <w:t>. Bradley is recognized as a “Recommended” firm in Tennessee and a “Bronze” firm in North Carolina. </w:t>
      </w:r>
    </w:p>
    <w:p w14:paraId="2DB8CA76" w14:textId="77777777" w:rsidR="00D7355B" w:rsidRPr="00D7355B" w:rsidRDefault="00D7355B" w:rsidP="00D7355B">
      <w:pPr>
        <w:spacing w:after="0" w:line="240" w:lineRule="auto"/>
        <w:rPr>
          <w:rFonts w:ascii="Times New Roman" w:eastAsia="Times New Roman" w:hAnsi="Times New Roman" w:cs="Times New Roman"/>
          <w:color w:val="212121"/>
          <w:kern w:val="0"/>
          <w14:ligatures w14:val="none"/>
        </w:rPr>
      </w:pPr>
      <w:r w:rsidRPr="00D7355B">
        <w:rPr>
          <w:rFonts w:ascii="Times New Roman" w:eastAsia="Times New Roman" w:hAnsi="Times New Roman" w:cs="Times New Roman"/>
          <w:color w:val="000000"/>
          <w:kern w:val="0"/>
          <w14:ligatures w14:val="none"/>
        </w:rPr>
        <w:t> </w:t>
      </w:r>
    </w:p>
    <w:p w14:paraId="253BDD4C" w14:textId="77777777" w:rsidR="00D7355B" w:rsidRPr="00D7355B" w:rsidRDefault="00D7355B" w:rsidP="00D7355B">
      <w:pPr>
        <w:spacing w:after="0" w:line="240" w:lineRule="auto"/>
        <w:rPr>
          <w:rFonts w:ascii="Times New Roman" w:eastAsia="Times New Roman" w:hAnsi="Times New Roman" w:cs="Times New Roman"/>
          <w:color w:val="212121"/>
          <w:kern w:val="0"/>
          <w14:ligatures w14:val="none"/>
        </w:rPr>
      </w:pPr>
      <w:hyperlink r:id="rId10" w:tooltip="https://www.worldtrademarkreview.com/rankings/wtr-1000" w:history="1">
        <w:r w:rsidRPr="00D7355B">
          <w:rPr>
            <w:rFonts w:ascii="Times New Roman" w:eastAsia="Times New Roman" w:hAnsi="Times New Roman" w:cs="Times New Roman"/>
            <w:color w:val="96607D"/>
            <w:kern w:val="0"/>
            <w:u w:val="single"/>
            <w14:ligatures w14:val="none"/>
          </w:rPr>
          <w:t>WTR 1000</w:t>
        </w:r>
      </w:hyperlink>
      <w:r w:rsidRPr="00D7355B">
        <w:rPr>
          <w:rFonts w:ascii="Times New Roman" w:eastAsia="Times New Roman" w:hAnsi="Times New Roman" w:cs="Times New Roman"/>
          <w:color w:val="000000"/>
          <w:kern w:val="0"/>
          <w14:ligatures w14:val="none"/>
        </w:rPr>
        <w:t> is a unique guide that identifies the top trademark professionals in key jurisdictions around the globe and has become an esteemed resource for those seeking world-class legal trademark knowledge and skill. The guide recognizes firms and attorneys deemed exceptional at obtaining, protecting, managing, enforcing and monetizing trademarks.</w:t>
      </w:r>
    </w:p>
    <w:p w14:paraId="04A56A94" w14:textId="77777777" w:rsidR="00D7355B" w:rsidRPr="00D7355B" w:rsidRDefault="00D7355B" w:rsidP="00D7355B">
      <w:pPr>
        <w:spacing w:after="0" w:line="240" w:lineRule="auto"/>
        <w:rPr>
          <w:rFonts w:ascii="Times New Roman" w:eastAsia="Times New Roman" w:hAnsi="Times New Roman" w:cs="Times New Roman"/>
          <w:color w:val="212121"/>
          <w:kern w:val="0"/>
          <w14:ligatures w14:val="none"/>
        </w:rPr>
      </w:pPr>
      <w:r w:rsidRPr="00D7355B">
        <w:rPr>
          <w:rFonts w:ascii="Times New Roman" w:eastAsia="Times New Roman" w:hAnsi="Times New Roman" w:cs="Times New Roman"/>
          <w:color w:val="000000"/>
          <w:kern w:val="0"/>
          <w14:ligatures w14:val="none"/>
        </w:rPr>
        <w:t> </w:t>
      </w:r>
    </w:p>
    <w:p w14:paraId="58F66B8F" w14:textId="77777777" w:rsidR="00D7355B" w:rsidRPr="00D7355B" w:rsidRDefault="00D7355B" w:rsidP="00D7355B">
      <w:pPr>
        <w:spacing w:after="0" w:line="240" w:lineRule="auto"/>
        <w:rPr>
          <w:rFonts w:ascii="Times New Roman" w:eastAsia="Times New Roman" w:hAnsi="Times New Roman" w:cs="Times New Roman"/>
          <w:color w:val="212121"/>
          <w:kern w:val="0"/>
          <w14:ligatures w14:val="none"/>
        </w:rPr>
      </w:pPr>
      <w:r w:rsidRPr="00D7355B">
        <w:rPr>
          <w:rFonts w:ascii="Times New Roman" w:eastAsia="Times New Roman" w:hAnsi="Times New Roman" w:cs="Times New Roman"/>
          <w:color w:val="000000"/>
          <w:kern w:val="0"/>
          <w14:ligatures w14:val="none"/>
        </w:rPr>
        <w:t>Bradley’s </w:t>
      </w:r>
      <w:hyperlink r:id="rId11" w:tgtFrame="_blank" w:tooltip="https://www.bradley.com/practices-and-industries/practices/intellectual-property/trademarks" w:history="1">
        <w:r w:rsidRPr="00D7355B">
          <w:rPr>
            <w:rFonts w:ascii="Times New Roman" w:eastAsia="Times New Roman" w:hAnsi="Times New Roman" w:cs="Times New Roman"/>
            <w:color w:val="96607D"/>
            <w:kern w:val="0"/>
            <w:u w:val="single"/>
            <w14:ligatures w14:val="none"/>
          </w:rPr>
          <w:t>Trademarks Practice Group</w:t>
        </w:r>
      </w:hyperlink>
      <w:r w:rsidRPr="00D7355B">
        <w:rPr>
          <w:rFonts w:ascii="Times New Roman" w:eastAsia="Times New Roman" w:hAnsi="Times New Roman" w:cs="Times New Roman"/>
          <w:color w:val="000000"/>
          <w:kern w:val="0"/>
          <w14:ligatures w14:val="none"/>
        </w:rPr>
        <w:t> is a top-notch provider of domestic and international trademark prosecution and portfolio management services. The firm’s nationally recognized group includes several attorneys who are listed for Intellectual Property and Information Technology in </w:t>
      </w:r>
      <w:r w:rsidRPr="00D7355B">
        <w:rPr>
          <w:rFonts w:ascii="Times New Roman" w:eastAsia="Times New Roman" w:hAnsi="Times New Roman" w:cs="Times New Roman"/>
          <w:i/>
          <w:iCs/>
          <w:color w:val="000000"/>
          <w:kern w:val="0"/>
          <w14:ligatures w14:val="none"/>
        </w:rPr>
        <w:t>The Best Lawyers in America</w:t>
      </w:r>
      <w:r w:rsidRPr="00D7355B">
        <w:rPr>
          <w:rFonts w:ascii="Times New Roman" w:eastAsia="Times New Roman" w:hAnsi="Times New Roman" w:cs="Times New Roman"/>
          <w:color w:val="000000"/>
          <w:kern w:val="0"/>
          <w:vertAlign w:val="superscript"/>
          <w14:ligatures w14:val="none"/>
        </w:rPr>
        <w:t>®</w:t>
      </w:r>
      <w:r w:rsidRPr="00D7355B">
        <w:rPr>
          <w:rFonts w:ascii="Times New Roman" w:eastAsia="Times New Roman" w:hAnsi="Times New Roman" w:cs="Times New Roman"/>
          <w:color w:val="000000"/>
          <w:kern w:val="0"/>
          <w14:ligatures w14:val="none"/>
        </w:rPr>
        <w:t>. The team handles the full spectrum of trademark-related matters, regularly develops and manages comprehensive portfolios of trademarks, trade dress, and product configurations, and works to guide clients through the selection and adoption process.</w:t>
      </w:r>
    </w:p>
    <w:p w14:paraId="008924D8" w14:textId="77777777" w:rsidR="00D7355B" w:rsidRPr="00D7355B" w:rsidRDefault="00D7355B" w:rsidP="00D7355B">
      <w:pPr>
        <w:spacing w:after="0" w:line="240" w:lineRule="auto"/>
        <w:rPr>
          <w:rFonts w:ascii="Times New Roman" w:eastAsia="Times New Roman" w:hAnsi="Times New Roman" w:cs="Times New Roman"/>
          <w:color w:val="212121"/>
          <w:kern w:val="0"/>
          <w14:ligatures w14:val="none"/>
        </w:rPr>
      </w:pPr>
      <w:r w:rsidRPr="00D7355B">
        <w:rPr>
          <w:rFonts w:ascii="Times New Roman" w:eastAsia="Times New Roman" w:hAnsi="Times New Roman" w:cs="Times New Roman"/>
          <w:b/>
          <w:bCs/>
          <w:color w:val="212121"/>
          <w:kern w:val="0"/>
          <w14:ligatures w14:val="none"/>
        </w:rPr>
        <w:t> </w:t>
      </w:r>
    </w:p>
    <w:p w14:paraId="2857286B" w14:textId="77777777" w:rsidR="00D7355B" w:rsidRPr="00D7355B" w:rsidRDefault="00D7355B" w:rsidP="00D7355B">
      <w:pPr>
        <w:spacing w:after="0" w:line="240" w:lineRule="auto"/>
        <w:rPr>
          <w:rFonts w:ascii="Times New Roman" w:eastAsia="Times New Roman" w:hAnsi="Times New Roman" w:cs="Times New Roman"/>
          <w:color w:val="212121"/>
          <w:kern w:val="0"/>
          <w14:ligatures w14:val="none"/>
        </w:rPr>
      </w:pPr>
      <w:r w:rsidRPr="00D7355B">
        <w:rPr>
          <w:rFonts w:ascii="Times New Roman" w:eastAsia="Times New Roman" w:hAnsi="Times New Roman" w:cs="Times New Roman"/>
          <w:b/>
          <w:bCs/>
          <w:color w:val="000000"/>
          <w:kern w:val="0"/>
          <w14:ligatures w14:val="none"/>
        </w:rPr>
        <w:t>About Bradley </w:t>
      </w:r>
    </w:p>
    <w:p w14:paraId="32B66252" w14:textId="77777777" w:rsidR="00D7355B" w:rsidRPr="00D7355B" w:rsidRDefault="00D7355B" w:rsidP="00D7355B">
      <w:pPr>
        <w:spacing w:after="0" w:line="240" w:lineRule="auto"/>
        <w:rPr>
          <w:rFonts w:ascii="Times New Roman" w:eastAsia="Times New Roman" w:hAnsi="Times New Roman" w:cs="Times New Roman"/>
          <w:color w:val="212121"/>
          <w:kern w:val="0"/>
          <w14:ligatures w14:val="none"/>
        </w:rPr>
      </w:pPr>
      <w:r w:rsidRPr="00D7355B">
        <w:rPr>
          <w:rFonts w:ascii="Times New Roman" w:eastAsia="Times New Roman" w:hAnsi="Times New Roman" w:cs="Times New Roman"/>
          <w:color w:val="000000"/>
          <w:kern w:val="0"/>
          <w14:ligatures w14:val="none"/>
        </w:rPr>
        <w:t>For more than 150 years, </w:t>
      </w:r>
      <w:hyperlink r:id="rId12" w:tooltip="http://www.bradley.com/" w:history="1">
        <w:r w:rsidRPr="00D7355B">
          <w:rPr>
            <w:rFonts w:ascii="Times New Roman" w:eastAsia="Times New Roman" w:hAnsi="Times New Roman" w:cs="Times New Roman"/>
            <w:color w:val="96607D"/>
            <w:kern w:val="0"/>
            <w:u w:val="single"/>
            <w14:ligatures w14:val="none"/>
          </w:rPr>
          <w:t>Bradley</w:t>
        </w:r>
      </w:hyperlink>
      <w:r w:rsidRPr="00D7355B">
        <w:rPr>
          <w:rFonts w:ascii="Times New Roman" w:eastAsia="Times New Roman" w:hAnsi="Times New Roman" w:cs="Times New Roman"/>
          <w:color w:val="000000"/>
          <w:kern w:val="0"/>
          <w14:ligatures w14:val="none"/>
        </w:rPr>
        <w:t> has combined skilled legal counsel with exceptional client service and unwavering integrity to assist a diverse range of corporate and individual clients in achieving their business goals. With 13 offices in Alabama, Florida, Georgia, Mississippi, North Carolina, Tennessee, Texas, and the District of Columbia, the firm’s more than 700 lawyers represent regional, national and international clients in various industries, including banking and financial services, construction, energy, healthcare, life sciences, manufacturing, real estate, and technology, among many others. </w:t>
      </w:r>
    </w:p>
    <w:p w14:paraId="19E6B3C7" w14:textId="77777777" w:rsidR="00D7355B" w:rsidRPr="00D7355B" w:rsidRDefault="00D7355B" w:rsidP="00D7355B">
      <w:pPr>
        <w:spacing w:after="0" w:line="240" w:lineRule="auto"/>
        <w:rPr>
          <w:rFonts w:ascii="Aptos" w:eastAsia="Times New Roman" w:hAnsi="Aptos" w:cs="Times New Roman"/>
          <w:color w:val="212121"/>
          <w:kern w:val="0"/>
          <w:sz w:val="20"/>
          <w:szCs w:val="20"/>
          <w14:ligatures w14:val="none"/>
        </w:rPr>
      </w:pPr>
      <w:r w:rsidRPr="00D7355B">
        <w:rPr>
          <w:rFonts w:ascii="Arial" w:eastAsia="Times New Roman" w:hAnsi="Arial" w:cs="Arial"/>
          <w:color w:val="000000"/>
          <w:kern w:val="0"/>
          <w:sz w:val="22"/>
          <w:szCs w:val="22"/>
          <w14:ligatures w14:val="none"/>
        </w:rPr>
        <w:t> </w:t>
      </w:r>
    </w:p>
    <w:p w14:paraId="1D89DD9B" w14:textId="77777777" w:rsidR="002657C5" w:rsidRDefault="002657C5"/>
    <w:sectPr w:rsidR="002657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55B"/>
    <w:rsid w:val="002657C5"/>
    <w:rsid w:val="00C232B3"/>
    <w:rsid w:val="00C96862"/>
    <w:rsid w:val="00D7355B"/>
    <w:rsid w:val="00DC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76F7FA"/>
  <w15:chartTrackingRefBased/>
  <w15:docId w15:val="{D5EB73D7-AD45-AB42-A707-CA9814F45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5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5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5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5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5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5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5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5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5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5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5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5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5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5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5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5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5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55B"/>
    <w:rPr>
      <w:rFonts w:eastAsiaTheme="majorEastAsia" w:cstheme="majorBidi"/>
      <w:color w:val="272727" w:themeColor="text1" w:themeTint="D8"/>
    </w:rPr>
  </w:style>
  <w:style w:type="paragraph" w:styleId="Title">
    <w:name w:val="Title"/>
    <w:basedOn w:val="Normal"/>
    <w:next w:val="Normal"/>
    <w:link w:val="TitleChar"/>
    <w:uiPriority w:val="10"/>
    <w:qFormat/>
    <w:rsid w:val="00D735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5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5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5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55B"/>
    <w:pPr>
      <w:spacing w:before="160"/>
      <w:jc w:val="center"/>
    </w:pPr>
    <w:rPr>
      <w:i/>
      <w:iCs/>
      <w:color w:val="404040" w:themeColor="text1" w:themeTint="BF"/>
    </w:rPr>
  </w:style>
  <w:style w:type="character" w:customStyle="1" w:styleId="QuoteChar">
    <w:name w:val="Quote Char"/>
    <w:basedOn w:val="DefaultParagraphFont"/>
    <w:link w:val="Quote"/>
    <w:uiPriority w:val="29"/>
    <w:rsid w:val="00D7355B"/>
    <w:rPr>
      <w:i/>
      <w:iCs/>
      <w:color w:val="404040" w:themeColor="text1" w:themeTint="BF"/>
    </w:rPr>
  </w:style>
  <w:style w:type="paragraph" w:styleId="ListParagraph">
    <w:name w:val="List Paragraph"/>
    <w:basedOn w:val="Normal"/>
    <w:uiPriority w:val="34"/>
    <w:qFormat/>
    <w:rsid w:val="00D7355B"/>
    <w:pPr>
      <w:ind w:left="720"/>
      <w:contextualSpacing/>
    </w:pPr>
  </w:style>
  <w:style w:type="character" w:styleId="IntenseEmphasis">
    <w:name w:val="Intense Emphasis"/>
    <w:basedOn w:val="DefaultParagraphFont"/>
    <w:uiPriority w:val="21"/>
    <w:qFormat/>
    <w:rsid w:val="00D7355B"/>
    <w:rPr>
      <w:i/>
      <w:iCs/>
      <w:color w:val="0F4761" w:themeColor="accent1" w:themeShade="BF"/>
    </w:rPr>
  </w:style>
  <w:style w:type="paragraph" w:styleId="IntenseQuote">
    <w:name w:val="Intense Quote"/>
    <w:basedOn w:val="Normal"/>
    <w:next w:val="Normal"/>
    <w:link w:val="IntenseQuoteChar"/>
    <w:uiPriority w:val="30"/>
    <w:qFormat/>
    <w:rsid w:val="00D735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55B"/>
    <w:rPr>
      <w:i/>
      <w:iCs/>
      <w:color w:val="0F4761" w:themeColor="accent1" w:themeShade="BF"/>
    </w:rPr>
  </w:style>
  <w:style w:type="character" w:styleId="IntenseReference">
    <w:name w:val="Intense Reference"/>
    <w:basedOn w:val="DefaultParagraphFont"/>
    <w:uiPriority w:val="32"/>
    <w:qFormat/>
    <w:rsid w:val="00D7355B"/>
    <w:rPr>
      <w:b/>
      <w:bCs/>
      <w:smallCaps/>
      <w:color w:val="0F4761" w:themeColor="accent1" w:themeShade="BF"/>
      <w:spacing w:val="5"/>
    </w:rPr>
  </w:style>
  <w:style w:type="character" w:styleId="Hyperlink">
    <w:name w:val="Hyperlink"/>
    <w:basedOn w:val="DefaultParagraphFont"/>
    <w:uiPriority w:val="99"/>
    <w:semiHidden/>
    <w:unhideWhenUsed/>
    <w:rsid w:val="00D7355B"/>
    <w:rPr>
      <w:color w:val="0000FF"/>
      <w:u w:val="single"/>
    </w:rPr>
  </w:style>
  <w:style w:type="character" w:customStyle="1" w:styleId="apple-converted-space">
    <w:name w:val="apple-converted-space"/>
    <w:basedOn w:val="DefaultParagraphFont"/>
    <w:rsid w:val="00D73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12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adley.com/people/w/walker-phillip-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radley.com/people/s/skains-menchaca-samantha-n" TargetMode="External"/><Relationship Id="rId12" Type="http://schemas.openxmlformats.org/officeDocument/2006/relationships/hyperlink" Target="http://www.bradle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radley.com/people/d/deantonio-matthew-s" TargetMode="External"/><Relationship Id="rId11" Type="http://schemas.openxmlformats.org/officeDocument/2006/relationships/hyperlink" Target="https://www.bradley.com/practices-and-industries/practices/intellectual-property/trademarks" TargetMode="External"/><Relationship Id="rId5" Type="http://schemas.openxmlformats.org/officeDocument/2006/relationships/hyperlink" Target="http://www.bradley.com" TargetMode="External"/><Relationship Id="rId10" Type="http://schemas.openxmlformats.org/officeDocument/2006/relationships/hyperlink" Target="https://www.worldtrademarkreview.com/rankings/wtr-1000" TargetMode="External"/><Relationship Id="rId4" Type="http://schemas.openxmlformats.org/officeDocument/2006/relationships/hyperlink" Target="mailto:rlabuzinski@jaffepr.com" TargetMode="External"/><Relationship Id="rId9" Type="http://schemas.openxmlformats.org/officeDocument/2006/relationships/hyperlink" Target="https://www.bradley.com/people/w/ward-iii-henry-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480</Words>
  <Characters>2737</Characters>
  <Application>Microsoft Office Word</Application>
  <DocSecurity>0</DocSecurity>
  <Lines>22</Lines>
  <Paragraphs>6</Paragraphs>
  <ScaleCrop>false</ScaleCrop>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Ryleigh Esco</dc:creator>
  <cp:keywords/>
  <dc:description/>
  <cp:lastModifiedBy>Ryleigh Esco</cp:lastModifiedBy>
  <cp:revision>1</cp:revision>
  <dcterms:created xsi:type="dcterms:W3CDTF">2025-02-10T19:49:00Z</dcterms:created>
  <dcterms:modified xsi:type="dcterms:W3CDTF">2025-02-10T19:50:00Z</dcterms:modified>
</cp:coreProperties>
</file>